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387</w:t>
      </w:r>
    </w:p>
    <w:p>
      <w:r>
        <w:t>Bundesgericht (BGE), 1967-11-25, DE</w:t>
      </w:r>
    </w:p>
    <w:p>
      <w:r>
        <w:rPr>
          <w:b/>
        </w:rPr>
        <w:t xml:space="preserve">Quelle: </w:t>
      </w:r>
      <w:r>
        <w:t>https://mcp.opencaselaw.ch/entscheid/bge_93 II 387</w:t>
      </w:r>
    </w:p>
    <w:p>
      <w:r>
        <w:t>FR: ATF 93 II 387</w:t>
      </w:r>
    </w:p>
    <w:p>
      <w:r>
        <w:t>IT: DTF 93 II 387</w:t>
      </w:r>
    </w:p>
    <w:p>
      <w:pPr>
        <w:pStyle w:val="Heading2"/>
      </w:pPr>
      <w:r>
        <w:t>Regeste</w:t>
      </w:r>
    </w:p>
    <w:p>
      <w:r>
        <w:t>Regeste Art. 48 Abs. 1 OG. Ein Entscheid, der im Hinblick auf die Liquidation einer einfachen Gesellschaft die Versilberung von Grundstücken anordnet, ist ein berufungsfähiger Endentscheid (Erw. 2). Die gesetzliche Liquidationsordnung der einfachen Gesellschaft geht den sachenrechtlichen Bestimmungen über die Aufhebung des Gesamteigentums vor (Erw. 3 und 4). Öffentliche Versteigerung von Grundstücken, die im Eigentum der einfachen Gesellschaft stehen. Richterliches Ermessen? (Erw. 5).</w:t>
      </w:r>
    </w:p>
    <w:p>
      <w:pPr>
        <w:pStyle w:val="Heading2"/>
      </w:pPr>
      <w:r>
        <w:t>Erwägungen</w:t>
      </w:r>
    </w:p>
    <w:p>
      <w:r>
        <w:rPr>
          <w:b/>
        </w:rPr>
        <w:t>E. 1</w:t>
      </w:r>
    </w:p>
    <w:p>
      <w:r>
        <w:t>Der Beklagte macht geltend, es stehe ihm ein gesetzlicher Anspruch auf körperliche Teilung der im Eigentum der einfachen Gesellschaft der Parteien stehenden Parzellen Nr. 412 und 413 in Rehetobel zu. Die Vorinstanz habe daher durch Anordnung der öffentlichen Versteigerung Art. 651 Abs. 2 ZGB verletzt.</w:t>
      </w:r>
    </w:p>
    <w:p>
      <w:r>
        <w:rPr>
          <w:b/>
        </w:rPr>
        <w:t>E. 2</w:t>
      </w:r>
    </w:p>
    <w:p>
      <w:r>
        <w:t>Der Beklagte räumt ein, dass der angefochtene Entscheid nicht alle Streitfragen des Prozesses erledigt. Trotzdem liege ein Endentscheid nach Art. 48 Abs. 1 OG vor, denn im vorliegenden Berufungsverfahren werde die Frage nach Art der Teilung des gemeinschaftlichen Eigentums an den streitigen Parzellen endgültig entschieden. Die vorliegende Berufung sei daher die letzte Möglichkeit, sich gegen den bevorstehenden Rechtsverlust zur Wehr zu setzen. Endentscheid im Sinne der zitierten Bestimmung ist jeder Entscheid, durch den entweder über den materiellen Anspruch geurteilt oder dessen Beurteilung aus einem Grunde abgelehnt wird, der endgültig verbietet, dass der gleiche Anspruch zwischen den gleichen Parteien nochmals geltend gemacht werde (vgl. BGE 72 II 57 , BGE 74 II 178 , BGE 77 II 281 , BGE 78 II 297 , BGE 84 II 229 und 398, BGE 86 II 123 ). Der behauptete Anspruch des Beklagten leitet sich aus dem Gesellschaftsverhältnis der Parteien ab und ist daher materiell-rechtlicher Natur. Bei Durchführung der im angefochtenen Urteil getroffenen Anordnungen würde die vom Beklagten beanspruchte Realteilung der beiden Parzellen ausgeschlossen und könnte nicht mehr geltend gemacht werden. Auf die Berufung ist daher einzutreten.</w:t>
      </w:r>
    </w:p>
    <w:p>
      <w:r>
        <w:rPr>
          <w:b/>
        </w:rPr>
        <w:t>E. 3</w:t>
      </w:r>
    </w:p>
    <w:p>
      <w:r>
        <w:t>Der Beklagte bestreitet im Berufungsverfahren nicht mehr, dass die einfache Gesellschaft der Parteien aufgelöst ist. Dagegen erhebt er, wie dargetan, Anspruch auf körperliche Teilung der erwähnten Parzellen in Rehetobel. Obwohl diese Vermögensobjekte noch im Gesamteigentum der Parteien stünden, seien nach Art. 654 Abs. 2 ZGB für dessen Aufhebung die Vorschriften über das Miteigentum massgebend. Art. 651 Abs. 2 ZGB sehe vor, dass bei Uneinigkeit der Miteigentümer über die Art der Aufhebung des Miteigentums die Sache körperlich geteilt oder, wenn dies ohne wesentliche Verminderung BGE 93 II 387 S. 391 ihres Wertes nicht möglich sei, öffentlich oder unter den Miteigentümern versteigert werde. Damit stehe fest, dass grundsätzlich eine Realteilung durchzuführen sei und nur dann eine Versteigerung angeordnet werden dürfe, wenn sonst eine "wesentliche Wertverminderung" der Sache eintrete. Im vorliegenden Fall habe die Vorinstanz diesen Begriff unrichtig ausgelegt und daher Art. 651 Abs. 2 ZGB verletzt. Mit dieser Betrachtungsweise übersieht der Beklagte, dass der Rechtsstreit der Parteien sich nicht in der Aufhebung des Gesamteigentums an den streitigen Parzellen erschöpft, sondern die gesamte Liquidation der Gesellschaft zum Gegenstand hat. Die Aufhebung des Gesamteigentums ist somit nicht Selbstzweck. Die Liquidation der einfachen Gesellschaft richtet sich grundsätzlich nach den Art. 548-550 OR . Bei der Kollektivgesellschaft ist die Liquidation nicht wesentlich verschieden, sondern bloss ausführlicher geregelt. Die in Art. 582-590 OR vorgesehene Ordnung kann daher auf die einfache Gesellschaft von ähnlichem Bestand sinngemäss angewendet werden (vgl. SIEGWART, N. 24 zu Art. 548-550 OR ). Im vorliegenden Fall verfolgten die Parteien nach den Vorbringen des Beklagten mit der einfachen Gesellschaft den Zweck, die erworbenen Grundstücke parzellenweise zu überbauen und nachher zu verkaufen oder Teilstücke unüberbaut weiter zu veräussern. Der von den Parteien vorgesehene Zweck stimmt daher mit dem in Art. 552 OR für die Kollektivgesellschaft vorgesehenen Zweck (Betrieb eines nach kaufmännischer Art geführten Gewerbes) weitgehend überein. Demnach steht nichts entgegen, die Liquidationsordnung der Kollektivgesellschaft analog anzuwenden.</w:t>
      </w:r>
    </w:p>
    <w:p>
      <w:r>
        <w:rPr>
          <w:b/>
        </w:rPr>
        <w:t>E. 4</w:t>
      </w:r>
    </w:p>
    <w:p>
      <w:r>
        <w:t>Da die Parteien über die Auflösung des Gesellschaftsverhältnisses weder ursprünglich noch nachträglich eine Vereinbarung getroffen haben, ist der vom Beklagten geltend gemachte Anspruch auf körperliche Teilung der streitigen Parzellen nach der gesetzlichen Liquidationsordnung der einfachen Gesellschaft zu beurteilen (vgl. Erw. 3 hievor). Die Liquidation der einfachen Gesellschaft wird vom Grundsatz der Einheitlichkeit der Liquidation beherrscht. Sie umfasst alle liquidationsbedürftigen Verhältnisse (vgl. SIEGWART, N. 4 zu Art. 548-550 OR ). Dabei entspricht es dem Gesamthandprinzip, dass der Gesellschafter keinen Anspruch auf Naturalteilung hat, sondern nur auf Wert- oder Reinvermögensteilung, BGE 93 II 387 S. 392 mithin auf einen seinem Anteil entsprechenden Betrag in Geld (vgl. WIELAND, Handelsrecht I, S. 647, SIEGWART, a.a.O.). Das Begehren des Beklagten ist daher unzulässig. Da eine abweichende Vereinbarung der Parteien nicht vorliegt, sind die streitigen Vermögenswerte nach Art. 549 OR zur Tilgung der gemeinschaftlichen Schulden, zur Ersetzung der Auslagen und Verwendungen und zur Rückerstattung der von den Parteien verwendeten Vermögensbeiträge zu verwenden. Dabei sind die fraglichen Aktiven, soweit es die Auseinandersetzung erfordert, in analoger Anwendung von Art. 585 Abs. 1 OR zu versilbern. Die Versilberung kann aber auch Platz greifen, wenn dadurch die Teilung unter den Gesellschaftern erleichtert wird (vgl. SIEGWART, N. 26 zu Art. 548-550 und 9 ff. zu Art. 585 OR ). Die sich aus der gesellschaftsrechtlichen Liquidationsordnung ergebenden Rechtsfolgen werden nicht etwa durch die Vorschriften des Sachenrechts über die Aufhebung von Mit- und Gesamteigentum vereitelt. Die Aufhebung des Gesamteigentums erfolgt nach Art. 654 Abs. 2 ZGB nur dort nach den Vorschriften über das Miteigentum, "wo es nicht anders bestimmt ist". Nach dem Gesagten wird die Aufhebung von Gesamteigentum in der gesetzlichen Liquidationsordnung der einfachen Gesellschaft abweichend geregelt. Eine besondere Ordnung ist dort schon deshalb unerlässlich, weil die im Sachenrecht vorgesehene Realteilung bei Uneinigkeit der Gesellschafter die Durchführung der Liquidation häufig erschweren, wenn nicht gar verunmöglichen würde.</w:t>
      </w:r>
    </w:p>
    <w:p>
      <w:r>
        <w:rPr>
          <w:b/>
        </w:rPr>
        <w:t>E. 5</w:t>
      </w:r>
    </w:p>
    <w:p>
      <w:r>
        <w:t>Die vom Obergericht getroffene Anordnung - öffentliche Versteigerung der streitigen Parzellen - wäre nur dann bundesrechtswidrig, wenn sie auf einer Verletzung des in der gesetzlichen Liquidationsordnung eingeräumten richterlichen Ermessens beruhte. Dass die Vorinstanz den vom Beklagten erhobenen Anspruch unter dem Gesichtspunkt von Art. 651 Abs. 2 ZGB prüfte, schadet weiter nichts. Ob sie dabei vom richtigen Rechtsbegriff der "wesentlichen Wertverminderung" ausging, ist schon deshalb unerheblich, weil dem Beklagten ein Anspruch auf körperliche Teilung der Parzellen überhaupt nicht zusteht. Entscheidend ist dagegen die verbindliche Feststellung im angefochtenen Urteil, dass die körperliche Teilung "komplizierte, umstrittene Bewertungs- und Zuweisungsfragen" aufwerfen BGE 93 II 387 S. 393 würde. Unter diesen Umständen durfte die Vorinstanz - ohne das ihr zustehende Ermessen zu verletzen - die öffentliche Versteigerung der Parzellen anordnen. Diese Massnahme ist umso mehr zu vertreten, als damit die Auseinandersetzung der Gesellschafter erheblich erleichtert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